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1B2DA" w14:textId="18EABBFF" w:rsidR="00CB203D" w:rsidRDefault="00CB203D" w:rsidP="00CB203D">
      <w:pPr>
        <w:pStyle w:val="Standard"/>
        <w:jc w:val="center"/>
        <w:rPr>
          <w:rFonts w:hint="eastAsia"/>
          <w:b/>
          <w:bCs/>
        </w:rPr>
      </w:pPr>
    </w:p>
    <w:p w14:paraId="226EAEAF" w14:textId="1E98CE3E" w:rsidR="006F7624" w:rsidRDefault="00224E43" w:rsidP="00CB203D">
      <w:pPr>
        <w:pStyle w:val="Standard"/>
        <w:jc w:val="center"/>
        <w:rPr>
          <w:rFonts w:hint="eastAsia"/>
          <w:b/>
          <w:bCs/>
          <w:sz w:val="34"/>
          <w:szCs w:val="44"/>
        </w:rPr>
      </w:pPr>
      <w:r w:rsidRPr="00CB203D">
        <w:rPr>
          <w:b/>
          <w:bCs/>
          <w:sz w:val="34"/>
          <w:szCs w:val="44"/>
        </w:rPr>
        <w:t xml:space="preserve">Bid </w:t>
      </w:r>
      <w:r w:rsidR="00CB203D" w:rsidRPr="00CB203D">
        <w:rPr>
          <w:b/>
          <w:bCs/>
          <w:sz w:val="34"/>
          <w:szCs w:val="44"/>
        </w:rPr>
        <w:t>F</w:t>
      </w:r>
      <w:r w:rsidRPr="00CB203D">
        <w:rPr>
          <w:b/>
          <w:bCs/>
          <w:sz w:val="34"/>
          <w:szCs w:val="44"/>
        </w:rPr>
        <w:t>orm for</w:t>
      </w:r>
      <w:r w:rsidR="003E01B7" w:rsidRPr="00CB203D">
        <w:rPr>
          <w:b/>
          <w:bCs/>
          <w:sz w:val="34"/>
          <w:szCs w:val="44"/>
        </w:rPr>
        <w:t xml:space="preserve"> </w:t>
      </w:r>
      <w:r w:rsidRPr="00CB203D">
        <w:rPr>
          <w:b/>
          <w:bCs/>
          <w:sz w:val="34"/>
          <w:szCs w:val="44"/>
        </w:rPr>
        <w:t xml:space="preserve">Auction Saturday </w:t>
      </w:r>
      <w:r w:rsidR="00487A3E" w:rsidRPr="00CB203D">
        <w:rPr>
          <w:b/>
          <w:bCs/>
          <w:sz w:val="34"/>
          <w:szCs w:val="44"/>
        </w:rPr>
        <w:t>2</w:t>
      </w:r>
      <w:r w:rsidR="009006FF">
        <w:rPr>
          <w:b/>
          <w:bCs/>
          <w:sz w:val="34"/>
          <w:szCs w:val="44"/>
        </w:rPr>
        <w:t>8</w:t>
      </w:r>
      <w:r w:rsidR="00487A3E" w:rsidRPr="00CB203D">
        <w:rPr>
          <w:b/>
          <w:bCs/>
          <w:sz w:val="34"/>
          <w:szCs w:val="44"/>
        </w:rPr>
        <w:t xml:space="preserve"> </w:t>
      </w:r>
      <w:r w:rsidR="00022338" w:rsidRPr="00CB203D">
        <w:rPr>
          <w:b/>
          <w:bCs/>
          <w:sz w:val="34"/>
          <w:szCs w:val="44"/>
        </w:rPr>
        <w:t>March</w:t>
      </w:r>
      <w:r w:rsidRPr="00CB203D">
        <w:rPr>
          <w:b/>
          <w:bCs/>
          <w:sz w:val="34"/>
          <w:szCs w:val="44"/>
        </w:rPr>
        <w:t xml:space="preserve"> 202</w:t>
      </w:r>
      <w:r w:rsidR="009006FF">
        <w:rPr>
          <w:b/>
          <w:bCs/>
          <w:sz w:val="34"/>
          <w:szCs w:val="44"/>
        </w:rPr>
        <w:t>6</w:t>
      </w:r>
      <w:r w:rsidR="00022338" w:rsidRPr="00CB203D">
        <w:rPr>
          <w:b/>
          <w:bCs/>
          <w:sz w:val="34"/>
          <w:szCs w:val="44"/>
        </w:rPr>
        <w:t xml:space="preserve">, </w:t>
      </w:r>
      <w:r w:rsidRPr="00CB203D">
        <w:rPr>
          <w:b/>
          <w:bCs/>
          <w:sz w:val="34"/>
          <w:szCs w:val="44"/>
        </w:rPr>
        <w:t xml:space="preserve">at </w:t>
      </w:r>
      <w:r w:rsidR="00022338" w:rsidRPr="00CB203D">
        <w:rPr>
          <w:b/>
          <w:bCs/>
          <w:sz w:val="34"/>
          <w:szCs w:val="44"/>
        </w:rPr>
        <w:t>13.15</w:t>
      </w:r>
      <w:r w:rsidRPr="00CB203D">
        <w:rPr>
          <w:b/>
          <w:bCs/>
          <w:sz w:val="34"/>
          <w:szCs w:val="44"/>
        </w:rPr>
        <w:t xml:space="preserve"> GMT</w:t>
      </w:r>
    </w:p>
    <w:p w14:paraId="7B6D2699" w14:textId="77777777" w:rsidR="008809C9" w:rsidRDefault="008809C9" w:rsidP="00CB203D">
      <w:pPr>
        <w:pStyle w:val="Standard"/>
        <w:jc w:val="center"/>
        <w:rPr>
          <w:rFonts w:hint="eastAsia"/>
          <w:b/>
          <w:bCs/>
          <w:sz w:val="34"/>
          <w:szCs w:val="44"/>
        </w:rPr>
      </w:pPr>
    </w:p>
    <w:p w14:paraId="7F1DCC89" w14:textId="18D46F5F" w:rsidR="005F442F" w:rsidRDefault="005F442F" w:rsidP="00AB6C0A">
      <w:pPr>
        <w:pStyle w:val="Standard"/>
        <w:spacing w:after="120"/>
        <w:rPr>
          <w:rFonts w:hint="eastAsia"/>
        </w:rPr>
      </w:pPr>
      <w:r w:rsidRPr="00E04AFF">
        <w:t>The auction will be held at SPINK, 69 Southampton Row, London</w:t>
      </w:r>
      <w:r w:rsidR="00E04AFF" w:rsidRPr="00E04AFF">
        <w:t xml:space="preserve"> WC1B 4ET not before 1.15pm</w:t>
      </w:r>
      <w:r w:rsidR="00E04AFF">
        <w:t>.  Lots will be on view from 11.15am.</w:t>
      </w:r>
    </w:p>
    <w:p w14:paraId="7F79706B" w14:textId="53214FD2" w:rsidR="00B328CF" w:rsidRPr="006C66A4" w:rsidRDefault="008809C9" w:rsidP="00AB6C0A">
      <w:pPr>
        <w:pStyle w:val="Standard"/>
        <w:spacing w:after="120"/>
        <w:rPr>
          <w:rFonts w:hint="eastAsia"/>
          <w:b/>
          <w:bCs/>
        </w:rPr>
      </w:pPr>
      <w:r>
        <w:rPr>
          <w:b/>
          <w:bCs/>
        </w:rPr>
        <w:t>Email and Postal Bids</w:t>
      </w:r>
      <w:r w:rsidR="007D1E9A">
        <w:rPr>
          <w:b/>
          <w:bCs/>
        </w:rPr>
        <w:t xml:space="preserve">: </w:t>
      </w:r>
      <w:r w:rsidR="00036EF1">
        <w:t xml:space="preserve">Bids should be made preferably on the below bid form and returned to </w:t>
      </w:r>
      <w:r w:rsidR="004E63FE">
        <w:t xml:space="preserve">the Auctioneer to arrive </w:t>
      </w:r>
      <w:r w:rsidR="004E63FE" w:rsidRPr="004E63FE">
        <w:rPr>
          <w:u w:val="single"/>
        </w:rPr>
        <w:t xml:space="preserve">no later than </w:t>
      </w:r>
      <w:r w:rsidR="007D1E9A" w:rsidRPr="004E63FE">
        <w:rPr>
          <w:u w:val="single"/>
        </w:rPr>
        <w:t xml:space="preserve">Wednesday </w:t>
      </w:r>
      <w:r w:rsidR="009006FF">
        <w:rPr>
          <w:u w:val="single"/>
        </w:rPr>
        <w:t>25</w:t>
      </w:r>
      <w:r w:rsidR="007D1E9A" w:rsidRPr="004E63FE">
        <w:rPr>
          <w:u w:val="single"/>
        </w:rPr>
        <w:t xml:space="preserve"> March 202</w:t>
      </w:r>
      <w:r w:rsidR="009006FF">
        <w:rPr>
          <w:u w:val="single"/>
        </w:rPr>
        <w:t>6</w:t>
      </w:r>
      <w:r w:rsidR="007D1E9A">
        <w:t xml:space="preserve">.  </w:t>
      </w:r>
      <w:r w:rsidR="006C66A4">
        <w:rPr>
          <w:b/>
          <w:bCs/>
        </w:rPr>
        <w:t>Bids will only b</w:t>
      </w:r>
      <w:r w:rsidR="008D48C2">
        <w:rPr>
          <w:b/>
          <w:bCs/>
        </w:rPr>
        <w:t>e</w:t>
      </w:r>
      <w:r w:rsidR="006C66A4">
        <w:rPr>
          <w:b/>
          <w:bCs/>
        </w:rPr>
        <w:t xml:space="preserve"> accepted </w:t>
      </w:r>
      <w:r w:rsidR="008D48C2">
        <w:rPr>
          <w:b/>
          <w:bCs/>
        </w:rPr>
        <w:t>f</w:t>
      </w:r>
      <w:r w:rsidR="006C66A4">
        <w:rPr>
          <w:b/>
          <w:bCs/>
        </w:rPr>
        <w:t>rom paid up members of the MSG.</w:t>
      </w:r>
    </w:p>
    <w:p w14:paraId="12C6F68C" w14:textId="6F232088" w:rsidR="00B328CF" w:rsidRDefault="004E63FE" w:rsidP="00AB6C0A">
      <w:pPr>
        <w:pStyle w:val="Standard"/>
        <w:spacing w:after="120"/>
        <w:rPr>
          <w:rFonts w:hint="eastAsia"/>
        </w:rPr>
      </w:pPr>
      <w:r>
        <w:t xml:space="preserve">Please send completed bid forms to </w:t>
      </w:r>
    </w:p>
    <w:p w14:paraId="76AE334B" w14:textId="77777777" w:rsidR="00132F9A" w:rsidRDefault="00132F9A" w:rsidP="00132F9A">
      <w:pPr>
        <w:pStyle w:val="Standard"/>
        <w:jc w:val="center"/>
        <w:rPr>
          <w:rFonts w:hint="eastAsia"/>
          <w:b/>
          <w:bCs/>
        </w:rPr>
      </w:pPr>
      <w:r w:rsidRPr="005E13B2">
        <w:rPr>
          <w:b/>
          <w:bCs/>
        </w:rPr>
        <w:t>John Rooke, 2 The Green,</w:t>
      </w:r>
    </w:p>
    <w:p w14:paraId="13F2C640" w14:textId="77777777" w:rsidR="00132F9A" w:rsidRPr="005E13B2" w:rsidRDefault="00132F9A" w:rsidP="00132F9A">
      <w:pPr>
        <w:pStyle w:val="Standard"/>
        <w:spacing w:after="120"/>
        <w:jc w:val="center"/>
        <w:rPr>
          <w:rFonts w:hint="eastAsia"/>
          <w:b/>
          <w:bCs/>
        </w:rPr>
      </w:pPr>
      <w:r w:rsidRPr="005E13B2">
        <w:rPr>
          <w:b/>
          <w:bCs/>
        </w:rPr>
        <w:t>L</w:t>
      </w:r>
      <w:r>
        <w:rPr>
          <w:b/>
          <w:bCs/>
        </w:rPr>
        <w:t>o</w:t>
      </w:r>
      <w:r w:rsidRPr="005E13B2">
        <w:rPr>
          <w:b/>
          <w:bCs/>
        </w:rPr>
        <w:t>anhead, Midlothian, EH20 9DQ, UK</w:t>
      </w:r>
    </w:p>
    <w:p w14:paraId="2D21EC9D" w14:textId="35970A0C" w:rsidR="00CB203D" w:rsidRDefault="004E63FE" w:rsidP="00AB6C0A">
      <w:pPr>
        <w:pStyle w:val="Standard"/>
        <w:spacing w:after="120"/>
        <w:rPr>
          <w:rFonts w:hint="eastAsia"/>
        </w:rPr>
      </w:pPr>
      <w:r w:rsidRPr="004E63FE">
        <w:rPr>
          <w:rFonts w:hint="eastAsia"/>
        </w:rPr>
        <w:t xml:space="preserve">or email your bids to: </w:t>
      </w:r>
      <w:r w:rsidR="00132F9A">
        <w:t>rookejohna@gma</w:t>
      </w:r>
      <w:r w:rsidR="0035289D">
        <w:t>i</w:t>
      </w:r>
      <w:r w:rsidR="00132F9A">
        <w:t>l.com</w:t>
      </w:r>
      <w:r w:rsidRPr="004E63FE">
        <w:rPr>
          <w:rFonts w:hint="eastAsia"/>
        </w:rPr>
        <w:t xml:space="preserve"> e mail bids will be acknowledged.</w:t>
      </w:r>
    </w:p>
    <w:p w14:paraId="25706528" w14:textId="0658E906" w:rsidR="007527D4" w:rsidRPr="006C29BB" w:rsidRDefault="007527D4" w:rsidP="00AB6C0A">
      <w:pPr>
        <w:pStyle w:val="Standard"/>
        <w:spacing w:after="120"/>
        <w:rPr>
          <w:rFonts w:hint="eastAsia"/>
          <w:u w:val="single"/>
        </w:rPr>
      </w:pPr>
      <w:r w:rsidRPr="006C29BB">
        <w:rPr>
          <w:u w:val="single"/>
        </w:rPr>
        <w:t>Please complete the below form in block capitals and ensure numbers are clear.</w:t>
      </w:r>
      <w:r w:rsidR="00922CAD">
        <w:rPr>
          <w:u w:val="single"/>
        </w:rPr>
        <w:t xml:space="preserve"> </w:t>
      </w:r>
      <w:r w:rsidR="006408E5">
        <w:rPr>
          <w:u w:val="single"/>
        </w:rPr>
        <w:t>Please ensure your bids confirm with the bidding steps overleaf.</w:t>
      </w:r>
    </w:p>
    <w:tbl>
      <w:tblPr>
        <w:tblStyle w:val="TableGrid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3"/>
        <w:gridCol w:w="1193"/>
        <w:gridCol w:w="1193"/>
        <w:gridCol w:w="1193"/>
        <w:gridCol w:w="1194"/>
        <w:gridCol w:w="1194"/>
        <w:gridCol w:w="1194"/>
        <w:gridCol w:w="1194"/>
      </w:tblGrid>
      <w:tr w:rsidR="003970C5" w14:paraId="56234014" w14:textId="77777777" w:rsidTr="00341679">
        <w:tc>
          <w:tcPr>
            <w:tcW w:w="119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E30460" w14:textId="5C814BBA" w:rsidR="00F35ADC" w:rsidRDefault="00F35ADC" w:rsidP="00F35ADC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Lot No.</w:t>
            </w:r>
          </w:p>
        </w:tc>
        <w:tc>
          <w:tcPr>
            <w:tcW w:w="11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632BA39A" w14:textId="0E4CE9A1" w:rsidR="00F35ADC" w:rsidRDefault="00F35ADC" w:rsidP="00F35ADC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Bid</w:t>
            </w:r>
          </w:p>
        </w:tc>
        <w:tc>
          <w:tcPr>
            <w:tcW w:w="119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3024C9" w14:textId="2A2D02C1" w:rsidR="00F35ADC" w:rsidRDefault="00F35ADC" w:rsidP="00F35ADC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Lot No.</w:t>
            </w:r>
          </w:p>
        </w:tc>
        <w:tc>
          <w:tcPr>
            <w:tcW w:w="11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7E0004B0" w14:textId="7E02D822" w:rsidR="00F35ADC" w:rsidRDefault="00F35ADC" w:rsidP="00F35ADC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Bid</w:t>
            </w:r>
          </w:p>
        </w:tc>
        <w:tc>
          <w:tcPr>
            <w:tcW w:w="119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C0D3B0" w14:textId="101B1BFE" w:rsidR="00F35ADC" w:rsidRDefault="00F35ADC" w:rsidP="00F35ADC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Lot No.</w:t>
            </w:r>
          </w:p>
        </w:tc>
        <w:tc>
          <w:tcPr>
            <w:tcW w:w="119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3D85FB9A" w14:textId="67FD4AE3" w:rsidR="00F35ADC" w:rsidRDefault="00F35ADC" w:rsidP="00F35ADC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Bid</w:t>
            </w:r>
          </w:p>
        </w:tc>
        <w:tc>
          <w:tcPr>
            <w:tcW w:w="119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1215AA" w14:textId="7B0D8C01" w:rsidR="00F35ADC" w:rsidRDefault="00F35ADC" w:rsidP="00F35ADC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Lot No.</w:t>
            </w:r>
          </w:p>
        </w:tc>
        <w:tc>
          <w:tcPr>
            <w:tcW w:w="119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48D608FA" w14:textId="67D31AF3" w:rsidR="00F35ADC" w:rsidRDefault="00F35ADC" w:rsidP="00F35ADC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Bid</w:t>
            </w:r>
          </w:p>
        </w:tc>
      </w:tr>
      <w:tr w:rsidR="00F35ADC" w14:paraId="74FD9106" w14:textId="77777777" w:rsidTr="00341679">
        <w:trPr>
          <w:trHeight w:val="340"/>
        </w:trPr>
        <w:tc>
          <w:tcPr>
            <w:tcW w:w="11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F278247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9BDC079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F8DC444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CAF242A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60B59B2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C7CADA6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61E84AE" w14:textId="77777777" w:rsidR="00F35ADC" w:rsidRDefault="00F35ADC" w:rsidP="00F35ADC">
            <w:pPr>
              <w:pStyle w:val="Standard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BD4FD13" w14:textId="77777777" w:rsidR="00F35ADC" w:rsidRDefault="00F35ADC" w:rsidP="00F35ADC">
            <w:pPr>
              <w:pStyle w:val="Standard"/>
              <w:jc w:val="center"/>
              <w:rPr>
                <w:rFonts w:hint="eastAsia"/>
                <w:b/>
                <w:bCs/>
              </w:rPr>
            </w:pPr>
          </w:p>
        </w:tc>
      </w:tr>
      <w:tr w:rsidR="00F35ADC" w14:paraId="1DE04B82" w14:textId="77777777" w:rsidTr="00341679">
        <w:trPr>
          <w:trHeight w:val="340"/>
        </w:trPr>
        <w:tc>
          <w:tcPr>
            <w:tcW w:w="11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35EA563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0FBB3B1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32946EC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192995D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0123F27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70DA81E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1F749F6" w14:textId="77777777" w:rsidR="00F35ADC" w:rsidRDefault="00F35ADC" w:rsidP="00F35ADC">
            <w:pPr>
              <w:pStyle w:val="Standard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6DD2BA5" w14:textId="77777777" w:rsidR="00F35ADC" w:rsidRDefault="00F35ADC" w:rsidP="00F35ADC">
            <w:pPr>
              <w:pStyle w:val="Standard"/>
              <w:jc w:val="center"/>
              <w:rPr>
                <w:rFonts w:hint="eastAsia"/>
                <w:b/>
                <w:bCs/>
              </w:rPr>
            </w:pPr>
          </w:p>
        </w:tc>
      </w:tr>
      <w:tr w:rsidR="00F35ADC" w14:paraId="24866934" w14:textId="77777777" w:rsidTr="00341679">
        <w:trPr>
          <w:trHeight w:val="340"/>
        </w:trPr>
        <w:tc>
          <w:tcPr>
            <w:tcW w:w="11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15E1044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0A2C1BE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EEF62F9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0B4D933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4FD6559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825EFDB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26F8D50" w14:textId="77777777" w:rsidR="00F35ADC" w:rsidRDefault="00F35ADC" w:rsidP="00F35ADC">
            <w:pPr>
              <w:pStyle w:val="Standard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C8CE6FD" w14:textId="77777777" w:rsidR="00F35ADC" w:rsidRDefault="00F35ADC" w:rsidP="00F35ADC">
            <w:pPr>
              <w:pStyle w:val="Standard"/>
              <w:jc w:val="center"/>
              <w:rPr>
                <w:rFonts w:hint="eastAsia"/>
                <w:b/>
                <w:bCs/>
              </w:rPr>
            </w:pPr>
          </w:p>
        </w:tc>
      </w:tr>
      <w:tr w:rsidR="00F35ADC" w14:paraId="2F3B403B" w14:textId="77777777" w:rsidTr="00341679">
        <w:trPr>
          <w:trHeight w:val="340"/>
        </w:trPr>
        <w:tc>
          <w:tcPr>
            <w:tcW w:w="11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37EBBF1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FFCF467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638E3D0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F889EF2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7467179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47BF457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2598F17" w14:textId="77777777" w:rsidR="00F35ADC" w:rsidRDefault="00F35ADC" w:rsidP="00F35ADC">
            <w:pPr>
              <w:pStyle w:val="Standard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0D324E5" w14:textId="77777777" w:rsidR="00F35ADC" w:rsidRDefault="00F35ADC" w:rsidP="00F35ADC">
            <w:pPr>
              <w:pStyle w:val="Standard"/>
              <w:jc w:val="center"/>
              <w:rPr>
                <w:rFonts w:hint="eastAsia"/>
                <w:b/>
                <w:bCs/>
              </w:rPr>
            </w:pPr>
          </w:p>
        </w:tc>
      </w:tr>
      <w:tr w:rsidR="00F35ADC" w14:paraId="5AD40D14" w14:textId="77777777" w:rsidTr="00341679">
        <w:trPr>
          <w:trHeight w:val="340"/>
        </w:trPr>
        <w:tc>
          <w:tcPr>
            <w:tcW w:w="11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F1BE583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C409068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3F0BA01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51C7223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F535DE9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C46B280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F3A9FE7" w14:textId="77777777" w:rsidR="00F35ADC" w:rsidRDefault="00F35ADC" w:rsidP="00F35ADC">
            <w:pPr>
              <w:pStyle w:val="Standard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7156518" w14:textId="77777777" w:rsidR="00F35ADC" w:rsidRDefault="00F35ADC" w:rsidP="00F35ADC">
            <w:pPr>
              <w:pStyle w:val="Standard"/>
              <w:jc w:val="center"/>
              <w:rPr>
                <w:rFonts w:hint="eastAsia"/>
                <w:b/>
                <w:bCs/>
              </w:rPr>
            </w:pPr>
          </w:p>
        </w:tc>
      </w:tr>
      <w:tr w:rsidR="00F35ADC" w14:paraId="0A8F2274" w14:textId="77777777" w:rsidTr="00341679">
        <w:trPr>
          <w:trHeight w:val="340"/>
        </w:trPr>
        <w:tc>
          <w:tcPr>
            <w:tcW w:w="11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4069D6C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CD1F3F3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D88A88F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EB77CBE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0397C88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86B62D2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ABADDF7" w14:textId="77777777" w:rsidR="00F35ADC" w:rsidRDefault="00F35ADC" w:rsidP="00F35ADC">
            <w:pPr>
              <w:pStyle w:val="Standard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DE2381B" w14:textId="77777777" w:rsidR="00F35ADC" w:rsidRDefault="00F35ADC" w:rsidP="00F35ADC">
            <w:pPr>
              <w:pStyle w:val="Standard"/>
              <w:jc w:val="center"/>
              <w:rPr>
                <w:rFonts w:hint="eastAsia"/>
                <w:b/>
                <w:bCs/>
              </w:rPr>
            </w:pPr>
          </w:p>
        </w:tc>
      </w:tr>
      <w:tr w:rsidR="00F35ADC" w14:paraId="62A10E28" w14:textId="77777777" w:rsidTr="00341679">
        <w:trPr>
          <w:trHeight w:val="340"/>
        </w:trPr>
        <w:tc>
          <w:tcPr>
            <w:tcW w:w="11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02969EC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FD15BE6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DBF663D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2C20A47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91110A6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EB87563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57C42EF" w14:textId="77777777" w:rsidR="00F35ADC" w:rsidRDefault="00F35ADC" w:rsidP="00F35ADC">
            <w:pPr>
              <w:pStyle w:val="Standard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B20C135" w14:textId="77777777" w:rsidR="00F35ADC" w:rsidRDefault="00F35ADC" w:rsidP="00F35ADC">
            <w:pPr>
              <w:pStyle w:val="Standard"/>
              <w:jc w:val="center"/>
              <w:rPr>
                <w:rFonts w:hint="eastAsia"/>
                <w:b/>
                <w:bCs/>
              </w:rPr>
            </w:pPr>
          </w:p>
        </w:tc>
      </w:tr>
      <w:tr w:rsidR="00F35ADC" w14:paraId="040C8FB4" w14:textId="77777777" w:rsidTr="00341679">
        <w:trPr>
          <w:trHeight w:val="340"/>
        </w:trPr>
        <w:tc>
          <w:tcPr>
            <w:tcW w:w="11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7A8F0C4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729800D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E2214F7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C8B21F1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0A20F10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428C3F6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AF28477" w14:textId="77777777" w:rsidR="00F35ADC" w:rsidRDefault="00F35ADC" w:rsidP="00F35ADC">
            <w:pPr>
              <w:pStyle w:val="Standard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4D0A9BC" w14:textId="77777777" w:rsidR="00F35ADC" w:rsidRDefault="00F35ADC" w:rsidP="00F35ADC">
            <w:pPr>
              <w:pStyle w:val="Standard"/>
              <w:jc w:val="center"/>
              <w:rPr>
                <w:rFonts w:hint="eastAsia"/>
                <w:b/>
                <w:bCs/>
              </w:rPr>
            </w:pPr>
          </w:p>
        </w:tc>
      </w:tr>
      <w:tr w:rsidR="00F35ADC" w14:paraId="23F2E128" w14:textId="77777777" w:rsidTr="00341679">
        <w:trPr>
          <w:trHeight w:val="340"/>
        </w:trPr>
        <w:tc>
          <w:tcPr>
            <w:tcW w:w="11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0F1B059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3073CDF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7B6F846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15F774A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67024E7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74495A6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D2DD215" w14:textId="77777777" w:rsidR="00F35ADC" w:rsidRDefault="00F35ADC" w:rsidP="00F35ADC">
            <w:pPr>
              <w:pStyle w:val="Standard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1E11BC3" w14:textId="77777777" w:rsidR="00F35ADC" w:rsidRDefault="00F35ADC" w:rsidP="00F35ADC">
            <w:pPr>
              <w:pStyle w:val="Standard"/>
              <w:jc w:val="center"/>
              <w:rPr>
                <w:rFonts w:hint="eastAsia"/>
                <w:b/>
                <w:bCs/>
              </w:rPr>
            </w:pPr>
          </w:p>
        </w:tc>
      </w:tr>
      <w:tr w:rsidR="00F35ADC" w14:paraId="0F014BD7" w14:textId="77777777" w:rsidTr="00341679">
        <w:trPr>
          <w:trHeight w:val="340"/>
        </w:trPr>
        <w:tc>
          <w:tcPr>
            <w:tcW w:w="11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A2995F6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86AE805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853BFCA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FF17629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D4ECB33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2D6483B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19DDE11" w14:textId="77777777" w:rsidR="00F35ADC" w:rsidRDefault="00F35ADC" w:rsidP="00F35ADC">
            <w:pPr>
              <w:pStyle w:val="Standard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05D1BD4" w14:textId="77777777" w:rsidR="00F35ADC" w:rsidRDefault="00F35ADC" w:rsidP="00F35ADC">
            <w:pPr>
              <w:pStyle w:val="Standard"/>
              <w:jc w:val="center"/>
              <w:rPr>
                <w:rFonts w:hint="eastAsia"/>
                <w:b/>
                <w:bCs/>
              </w:rPr>
            </w:pPr>
          </w:p>
        </w:tc>
      </w:tr>
      <w:tr w:rsidR="00F35ADC" w14:paraId="459411F2" w14:textId="77777777" w:rsidTr="00341679">
        <w:trPr>
          <w:trHeight w:val="340"/>
        </w:trPr>
        <w:tc>
          <w:tcPr>
            <w:tcW w:w="119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1DF6A706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1A724435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2CAF737B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61EE016F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02B9F1AB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3278E7A4" w14:textId="77777777" w:rsidR="00F35ADC" w:rsidRDefault="00F35ADC" w:rsidP="00F35ADC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635B5319" w14:textId="77777777" w:rsidR="00F35ADC" w:rsidRDefault="00F35ADC" w:rsidP="00F35ADC">
            <w:pPr>
              <w:pStyle w:val="Standard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418FD2BA" w14:textId="77777777" w:rsidR="00F35ADC" w:rsidRDefault="00F35ADC" w:rsidP="00F35ADC">
            <w:pPr>
              <w:pStyle w:val="Standard"/>
              <w:jc w:val="center"/>
              <w:rPr>
                <w:rFonts w:hint="eastAsia"/>
                <w:b/>
                <w:bCs/>
              </w:rPr>
            </w:pPr>
          </w:p>
        </w:tc>
      </w:tr>
    </w:tbl>
    <w:p w14:paraId="185F2487" w14:textId="77777777" w:rsidR="00F35ADC" w:rsidRDefault="00F35ADC">
      <w:pPr>
        <w:pStyle w:val="Standard"/>
        <w:rPr>
          <w:rFonts w:hint="eastAsia"/>
          <w:b/>
          <w:bCs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0"/>
        <w:gridCol w:w="7229"/>
      </w:tblGrid>
      <w:tr w:rsidR="006F3034" w:rsidRPr="008A163D" w14:paraId="3165E985" w14:textId="77777777" w:rsidTr="00D55E5B">
        <w:trPr>
          <w:jc w:val="center"/>
        </w:trPr>
        <w:tc>
          <w:tcPr>
            <w:tcW w:w="2410" w:type="dxa"/>
          </w:tcPr>
          <w:p w14:paraId="7225FF98" w14:textId="1CDEA388" w:rsidR="006F3034" w:rsidRPr="00C638D7" w:rsidRDefault="006F3034" w:rsidP="00D55E5B">
            <w:pPr>
              <w:jc w:val="both"/>
              <w:rPr>
                <w:rFonts w:hint="eastAsia"/>
                <w:b/>
                <w:bCs/>
              </w:rPr>
            </w:pPr>
            <w:r w:rsidRPr="00C638D7">
              <w:rPr>
                <w:b/>
                <w:bCs/>
              </w:rPr>
              <w:t>Name</w:t>
            </w:r>
            <w:r w:rsidR="00341679" w:rsidRPr="00C638D7">
              <w:rPr>
                <w:b/>
                <w:bCs/>
              </w:rPr>
              <w:t>:</w:t>
            </w:r>
          </w:p>
        </w:tc>
        <w:tc>
          <w:tcPr>
            <w:tcW w:w="7229" w:type="dxa"/>
          </w:tcPr>
          <w:p w14:paraId="36CB5418" w14:textId="77777777" w:rsidR="006F3034" w:rsidRPr="008A163D" w:rsidRDefault="006F3034" w:rsidP="00D55E5B">
            <w:pPr>
              <w:jc w:val="both"/>
              <w:rPr>
                <w:rFonts w:hint="eastAsia"/>
              </w:rPr>
            </w:pPr>
          </w:p>
        </w:tc>
      </w:tr>
      <w:tr w:rsidR="006F3034" w:rsidRPr="008A163D" w14:paraId="23C9411D" w14:textId="77777777" w:rsidTr="00D55E5B">
        <w:trPr>
          <w:jc w:val="center"/>
        </w:trPr>
        <w:tc>
          <w:tcPr>
            <w:tcW w:w="2410" w:type="dxa"/>
          </w:tcPr>
          <w:p w14:paraId="0C8E59B0" w14:textId="30A9459D" w:rsidR="006F3034" w:rsidRPr="00C638D7" w:rsidRDefault="006F3034" w:rsidP="006F3034">
            <w:pPr>
              <w:rPr>
                <w:rFonts w:hint="eastAsia"/>
                <w:b/>
                <w:bCs/>
              </w:rPr>
            </w:pPr>
            <w:r w:rsidRPr="00C638D7">
              <w:rPr>
                <w:b/>
                <w:bCs/>
              </w:rPr>
              <w:t>Address for winning bids</w:t>
            </w:r>
            <w:r w:rsidR="00C638D7">
              <w:rPr>
                <w:b/>
                <w:bCs/>
              </w:rPr>
              <w:t>:</w:t>
            </w:r>
          </w:p>
          <w:p w14:paraId="2DBC7420" w14:textId="14464C3E" w:rsidR="005D2D15" w:rsidRPr="00D65B7D" w:rsidRDefault="005D2D15" w:rsidP="006F3034">
            <w:pPr>
              <w:rPr>
                <w:rFonts w:hint="eastAsia"/>
                <w:i/>
                <w:iCs/>
              </w:rPr>
            </w:pPr>
            <w:r w:rsidRPr="00D65B7D">
              <w:rPr>
                <w:i/>
                <w:iCs/>
              </w:rPr>
              <w:t>(By regulation, P.O. Boxes are not allowed)</w:t>
            </w:r>
          </w:p>
        </w:tc>
        <w:tc>
          <w:tcPr>
            <w:tcW w:w="7229" w:type="dxa"/>
          </w:tcPr>
          <w:p w14:paraId="531BB3CC" w14:textId="77777777" w:rsidR="006F3034" w:rsidRDefault="006F3034" w:rsidP="00D55E5B">
            <w:pPr>
              <w:jc w:val="both"/>
              <w:rPr>
                <w:rFonts w:hint="eastAsia"/>
              </w:rPr>
            </w:pPr>
          </w:p>
          <w:p w14:paraId="2CA5C71D" w14:textId="77777777" w:rsidR="005D2D15" w:rsidRDefault="005D2D15" w:rsidP="00D55E5B">
            <w:pPr>
              <w:jc w:val="both"/>
              <w:rPr>
                <w:rFonts w:hint="eastAsia"/>
              </w:rPr>
            </w:pPr>
          </w:p>
          <w:p w14:paraId="68988085" w14:textId="77777777" w:rsidR="005D2D15" w:rsidRDefault="005D2D15" w:rsidP="00D55E5B">
            <w:pPr>
              <w:jc w:val="both"/>
              <w:rPr>
                <w:rFonts w:hint="eastAsia"/>
              </w:rPr>
            </w:pPr>
          </w:p>
          <w:p w14:paraId="31BFBD2D" w14:textId="77777777" w:rsidR="005D2D15" w:rsidRPr="008A163D" w:rsidRDefault="005D2D15" w:rsidP="00D55E5B">
            <w:pPr>
              <w:jc w:val="both"/>
              <w:rPr>
                <w:rFonts w:hint="eastAsia"/>
              </w:rPr>
            </w:pPr>
          </w:p>
        </w:tc>
      </w:tr>
      <w:tr w:rsidR="006F3034" w:rsidRPr="008A163D" w14:paraId="6503A8D9" w14:textId="77777777" w:rsidTr="00D55E5B">
        <w:trPr>
          <w:jc w:val="center"/>
        </w:trPr>
        <w:tc>
          <w:tcPr>
            <w:tcW w:w="2410" w:type="dxa"/>
          </w:tcPr>
          <w:p w14:paraId="6180A96B" w14:textId="22F18CB1" w:rsidR="006F3034" w:rsidRPr="00C638D7" w:rsidRDefault="006F3034" w:rsidP="00D55E5B">
            <w:pPr>
              <w:jc w:val="both"/>
              <w:rPr>
                <w:rFonts w:hint="eastAsia"/>
                <w:b/>
                <w:bCs/>
              </w:rPr>
            </w:pPr>
            <w:r w:rsidRPr="00C638D7">
              <w:rPr>
                <w:b/>
                <w:bCs/>
              </w:rPr>
              <w:t>E-M</w:t>
            </w:r>
            <w:r w:rsidR="00593BD1">
              <w:rPr>
                <w:b/>
                <w:bCs/>
              </w:rPr>
              <w:t>ail Address:</w:t>
            </w:r>
          </w:p>
        </w:tc>
        <w:tc>
          <w:tcPr>
            <w:tcW w:w="7229" w:type="dxa"/>
          </w:tcPr>
          <w:p w14:paraId="1FF06948" w14:textId="77777777" w:rsidR="006F3034" w:rsidRPr="008A163D" w:rsidRDefault="006F3034" w:rsidP="00D55E5B">
            <w:pPr>
              <w:jc w:val="both"/>
              <w:rPr>
                <w:rFonts w:hint="eastAsia"/>
              </w:rPr>
            </w:pPr>
          </w:p>
        </w:tc>
      </w:tr>
    </w:tbl>
    <w:p w14:paraId="154E044F" w14:textId="5B125608" w:rsidR="005E13B2" w:rsidRDefault="00873B0D" w:rsidP="00AB6C0A">
      <w:pPr>
        <w:pStyle w:val="Standard"/>
        <w:spacing w:before="120"/>
        <w:rPr>
          <w:rFonts w:hint="eastAsia"/>
        </w:rPr>
      </w:pPr>
      <w:r w:rsidRPr="00873B0D">
        <w:t xml:space="preserve">Bidders will </w:t>
      </w:r>
      <w:r>
        <w:t xml:space="preserve">receive an invoice at the end of the auction detailing their successful </w:t>
      </w:r>
      <w:r w:rsidR="00B6203C">
        <w:t>bids.  Payment is to be made within 7 days of receipt of the invoice to</w:t>
      </w:r>
    </w:p>
    <w:p w14:paraId="047B187A" w14:textId="0166AD48" w:rsidR="00062C64" w:rsidRDefault="00224E43" w:rsidP="00062C64">
      <w:pPr>
        <w:pStyle w:val="Standard"/>
        <w:jc w:val="center"/>
        <w:rPr>
          <w:rFonts w:hint="eastAsia"/>
          <w:b/>
          <w:bCs/>
        </w:rPr>
      </w:pPr>
      <w:r w:rsidRPr="005E13B2">
        <w:rPr>
          <w:b/>
          <w:bCs/>
        </w:rPr>
        <w:t xml:space="preserve">Malaya Study Group c/o </w:t>
      </w:r>
      <w:r w:rsidR="00824EF5" w:rsidRPr="005E13B2">
        <w:rPr>
          <w:b/>
          <w:bCs/>
        </w:rPr>
        <w:t>John Rooke, 2 The Green,</w:t>
      </w:r>
    </w:p>
    <w:p w14:paraId="3EAA21D9" w14:textId="176B78D5" w:rsidR="001E37AA" w:rsidRPr="005E13B2" w:rsidRDefault="00824EF5" w:rsidP="00AB6C0A">
      <w:pPr>
        <w:pStyle w:val="Standard"/>
        <w:spacing w:after="120"/>
        <w:jc w:val="center"/>
        <w:rPr>
          <w:rFonts w:hint="eastAsia"/>
          <w:b/>
          <w:bCs/>
        </w:rPr>
      </w:pPr>
      <w:r w:rsidRPr="005E13B2">
        <w:rPr>
          <w:b/>
          <w:bCs/>
        </w:rPr>
        <w:t>L</w:t>
      </w:r>
      <w:r w:rsidR="008D48C2">
        <w:rPr>
          <w:b/>
          <w:bCs/>
        </w:rPr>
        <w:t>o</w:t>
      </w:r>
      <w:r w:rsidRPr="005E13B2">
        <w:rPr>
          <w:b/>
          <w:bCs/>
        </w:rPr>
        <w:t>anhead, Midlothian, EH20 9DQ, UK</w:t>
      </w:r>
    </w:p>
    <w:p w14:paraId="7C80464C" w14:textId="77777777" w:rsidR="00C638D7" w:rsidRDefault="00224E43">
      <w:pPr>
        <w:pStyle w:val="Standard"/>
        <w:rPr>
          <w:rFonts w:hint="eastAsia"/>
        </w:rPr>
      </w:pPr>
      <w:r w:rsidRPr="00644670">
        <w:t>If cheques drawn on a foreign bank other than in GBP</w:t>
      </w:r>
      <w:r w:rsidR="00644670">
        <w:t xml:space="preserve"> </w:t>
      </w:r>
      <w:r w:rsidRPr="00644670">
        <w:t>£5 extra to cover Bank charges.</w:t>
      </w:r>
      <w:r w:rsidR="00644670">
        <w:t xml:space="preserve">  </w:t>
      </w:r>
      <w:r w:rsidRPr="00644670">
        <w:t>Alternatively</w:t>
      </w:r>
      <w:r w:rsidR="001B38C3" w:rsidRPr="00644670">
        <w:t>,</w:t>
      </w:r>
      <w:r w:rsidRPr="00644670">
        <w:t xml:space="preserve"> payment can be made into MSG Bank</w:t>
      </w:r>
      <w:r w:rsidR="00644670">
        <w:t xml:space="preserve"> </w:t>
      </w:r>
      <w:r w:rsidRPr="00644670">
        <w:t xml:space="preserve">account using either internet (online) Banking </w:t>
      </w:r>
      <w:r w:rsidR="00644670">
        <w:t>o</w:t>
      </w:r>
      <w:r w:rsidRPr="00644670">
        <w:t>r</w:t>
      </w:r>
      <w:r w:rsidR="00644670">
        <w:t xml:space="preserve"> </w:t>
      </w:r>
      <w:r w:rsidRPr="00644670">
        <w:t>PayPal, Full details of all payment methods will be</w:t>
      </w:r>
      <w:r w:rsidR="00644670">
        <w:t xml:space="preserve"> </w:t>
      </w:r>
      <w:r w:rsidRPr="00644670">
        <w:t>included with invoices sent out.</w:t>
      </w:r>
    </w:p>
    <w:p w14:paraId="2EA5D44A" w14:textId="77777777" w:rsidR="00062C64" w:rsidRDefault="00062C64" w:rsidP="00C638D7">
      <w:pPr>
        <w:pStyle w:val="Standard"/>
        <w:jc w:val="center"/>
        <w:rPr>
          <w:rFonts w:hint="eastAsia"/>
          <w:b/>
          <w:bCs/>
        </w:rPr>
      </w:pPr>
    </w:p>
    <w:p w14:paraId="29F5739B" w14:textId="629CF155" w:rsidR="006F7624" w:rsidRDefault="00C638D7" w:rsidP="00C638D7">
      <w:pPr>
        <w:pStyle w:val="Standard"/>
        <w:jc w:val="center"/>
        <w:rPr>
          <w:rFonts w:hint="eastAsia"/>
          <w:b/>
          <w:bCs/>
        </w:rPr>
      </w:pPr>
      <w:r w:rsidRPr="00C638D7">
        <w:rPr>
          <w:b/>
          <w:bCs/>
        </w:rPr>
        <w:t>Saturday 2</w:t>
      </w:r>
      <w:r w:rsidR="00132F9A">
        <w:rPr>
          <w:b/>
          <w:bCs/>
        </w:rPr>
        <w:t>8 Match 2026</w:t>
      </w:r>
    </w:p>
    <w:p w14:paraId="787C3242" w14:textId="77777777" w:rsidR="00492E89" w:rsidRDefault="00492E89" w:rsidP="00492E89">
      <w:pPr>
        <w:rPr>
          <w:rFonts w:asciiTheme="minorHAnsi" w:eastAsia="Times New Roman" w:hAnsiTheme="minorHAnsi" w:cstheme="minorHAnsi"/>
          <w:color w:val="000000"/>
          <w:sz w:val="22"/>
          <w:lang w:eastAsia="en-GB"/>
        </w:rPr>
      </w:pPr>
    </w:p>
    <w:p w14:paraId="0CBB4F75" w14:textId="77777777" w:rsidR="00B166DE" w:rsidRDefault="00B166DE" w:rsidP="00492E89">
      <w:pPr>
        <w:rPr>
          <w:rFonts w:asciiTheme="minorHAnsi" w:eastAsia="Times New Roman" w:hAnsiTheme="minorHAnsi" w:cstheme="minorHAnsi"/>
          <w:b/>
          <w:bCs/>
          <w:color w:val="000000"/>
          <w:sz w:val="22"/>
          <w:lang w:eastAsia="en-GB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2"/>
          <w:lang w:eastAsia="en-GB"/>
        </w:rPr>
        <w:t>Bids:</w:t>
      </w:r>
    </w:p>
    <w:p w14:paraId="6F6C84DB" w14:textId="52CFBEC2" w:rsidR="007A1D19" w:rsidRDefault="007A1D19" w:rsidP="00B166DE">
      <w:pPr>
        <w:ind w:firstLine="709"/>
        <w:rPr>
          <w:rFonts w:asciiTheme="minorHAnsi" w:eastAsia="Times New Roman" w:hAnsiTheme="minorHAnsi" w:cstheme="minorHAnsi"/>
          <w:color w:val="000000"/>
          <w:sz w:val="22"/>
          <w:lang w:eastAsia="en-GB"/>
        </w:rPr>
      </w:pPr>
      <w:r>
        <w:rPr>
          <w:rFonts w:asciiTheme="minorHAnsi" w:eastAsia="Times New Roman" w:hAnsiTheme="minorHAnsi" w:cstheme="minorHAnsi"/>
          <w:color w:val="000000"/>
          <w:sz w:val="22"/>
          <w:lang w:eastAsia="en-GB"/>
        </w:rPr>
        <w:t xml:space="preserve">Bids will only be accepted from </w:t>
      </w:r>
      <w:r w:rsidR="00D414B9">
        <w:rPr>
          <w:rFonts w:asciiTheme="minorHAnsi" w:eastAsia="Times New Roman" w:hAnsiTheme="minorHAnsi" w:cstheme="minorHAnsi"/>
          <w:color w:val="000000"/>
          <w:sz w:val="22"/>
          <w:lang w:eastAsia="en-GB"/>
        </w:rPr>
        <w:t>fully paid up members of the Society.</w:t>
      </w:r>
    </w:p>
    <w:p w14:paraId="29452A6D" w14:textId="24230B12" w:rsidR="00B166DE" w:rsidRDefault="00B166DE" w:rsidP="00B166DE">
      <w:pPr>
        <w:ind w:firstLine="709"/>
        <w:rPr>
          <w:rFonts w:asciiTheme="minorHAnsi" w:eastAsia="Times New Roman" w:hAnsiTheme="minorHAnsi" w:cstheme="minorHAnsi"/>
          <w:color w:val="000000"/>
          <w:sz w:val="22"/>
          <w:lang w:eastAsia="en-GB"/>
        </w:rPr>
      </w:pPr>
      <w:r>
        <w:rPr>
          <w:rFonts w:asciiTheme="minorHAnsi" w:eastAsia="Times New Roman" w:hAnsiTheme="minorHAnsi" w:cstheme="minorHAnsi"/>
          <w:color w:val="000000"/>
          <w:sz w:val="22"/>
          <w:lang w:eastAsia="en-GB"/>
        </w:rPr>
        <w:t>Any bids received after the closing date of the auction will not be considered.</w:t>
      </w:r>
    </w:p>
    <w:p w14:paraId="0C8AE0B3" w14:textId="46DAECDF" w:rsidR="00B166DE" w:rsidRDefault="00492E89" w:rsidP="00B166DE">
      <w:pPr>
        <w:ind w:firstLine="709"/>
        <w:rPr>
          <w:rFonts w:asciiTheme="minorHAnsi" w:eastAsia="Times New Roman" w:hAnsiTheme="minorHAnsi" w:cstheme="minorHAnsi"/>
          <w:color w:val="000000"/>
          <w:sz w:val="22"/>
          <w:lang w:eastAsia="en-GB"/>
        </w:rPr>
      </w:pPr>
      <w:r w:rsidRPr="00403A57">
        <w:rPr>
          <w:rFonts w:asciiTheme="minorHAnsi" w:eastAsia="Times New Roman" w:hAnsiTheme="minorHAnsi" w:cstheme="minorHAnsi"/>
          <w:color w:val="000000"/>
          <w:sz w:val="22"/>
          <w:lang w:eastAsia="en-GB"/>
        </w:rPr>
        <w:t>In the event of equal bids, the first received will prevail so please bid early</w:t>
      </w:r>
      <w:r w:rsidR="00B166DE">
        <w:rPr>
          <w:rFonts w:asciiTheme="minorHAnsi" w:eastAsia="Times New Roman" w:hAnsiTheme="minorHAnsi" w:cstheme="minorHAnsi"/>
          <w:color w:val="000000"/>
          <w:sz w:val="22"/>
          <w:lang w:eastAsia="en-GB"/>
        </w:rPr>
        <w:t>.</w:t>
      </w:r>
    </w:p>
    <w:p w14:paraId="7D25926D" w14:textId="77777777" w:rsidR="00B650A4" w:rsidRDefault="00492E89" w:rsidP="00B166DE">
      <w:pPr>
        <w:ind w:firstLine="709"/>
        <w:rPr>
          <w:rFonts w:asciiTheme="minorHAnsi" w:eastAsia="Times New Roman" w:hAnsiTheme="minorHAnsi" w:cstheme="minorHAnsi"/>
          <w:color w:val="000000"/>
          <w:sz w:val="22"/>
          <w:lang w:eastAsia="en-GB"/>
        </w:rPr>
      </w:pPr>
      <w:r w:rsidRPr="00403A57">
        <w:rPr>
          <w:rFonts w:asciiTheme="minorHAnsi" w:eastAsia="Times New Roman" w:hAnsiTheme="minorHAnsi" w:cstheme="minorHAnsi"/>
          <w:color w:val="000000"/>
          <w:sz w:val="22"/>
          <w:lang w:eastAsia="en-GB"/>
        </w:rPr>
        <w:t xml:space="preserve">The reserve prices are shown in the Catalogue and any bids under these reserves will be ignored.  </w:t>
      </w:r>
    </w:p>
    <w:p w14:paraId="1A86211D" w14:textId="77777777" w:rsidR="00B650A4" w:rsidRDefault="00B650A4" w:rsidP="00B650A4">
      <w:pPr>
        <w:rPr>
          <w:rFonts w:asciiTheme="minorHAnsi" w:eastAsia="Times New Roman" w:hAnsiTheme="minorHAnsi" w:cstheme="minorHAnsi"/>
          <w:color w:val="000000"/>
          <w:sz w:val="22"/>
          <w:lang w:eastAsia="en-GB"/>
        </w:rPr>
      </w:pPr>
    </w:p>
    <w:p w14:paraId="1F94CA5A" w14:textId="77777777" w:rsidR="00216C69" w:rsidRDefault="00B650A4" w:rsidP="00B650A4">
      <w:pPr>
        <w:rPr>
          <w:rFonts w:asciiTheme="minorHAnsi" w:eastAsia="Times New Roman" w:hAnsiTheme="minorHAnsi" w:cstheme="minorHAnsi"/>
          <w:color w:val="000000"/>
          <w:sz w:val="22"/>
          <w:lang w:eastAsia="en-GB"/>
        </w:rPr>
      </w:pPr>
      <w:r>
        <w:rPr>
          <w:rFonts w:asciiTheme="minorHAnsi" w:eastAsia="Times New Roman" w:hAnsiTheme="minorHAnsi" w:cstheme="minorHAnsi"/>
          <w:color w:val="000000"/>
          <w:sz w:val="22"/>
          <w:lang w:eastAsia="en-GB"/>
        </w:rPr>
        <w:t xml:space="preserve">The bidding steps below will be used for this auction.  Any bid received not in line with the below will </w:t>
      </w:r>
      <w:r w:rsidR="00216C69">
        <w:rPr>
          <w:rFonts w:asciiTheme="minorHAnsi" w:eastAsia="Times New Roman" w:hAnsiTheme="minorHAnsi" w:cstheme="minorHAnsi"/>
          <w:color w:val="000000"/>
          <w:sz w:val="22"/>
          <w:lang w:eastAsia="en-GB"/>
        </w:rPr>
        <w:t>be rounded down to the step below.</w:t>
      </w:r>
    </w:p>
    <w:p w14:paraId="3312C37E" w14:textId="77777777" w:rsidR="00216C69" w:rsidRDefault="00216C69" w:rsidP="00B650A4">
      <w:pPr>
        <w:rPr>
          <w:rFonts w:asciiTheme="minorHAnsi" w:eastAsia="Times New Roman" w:hAnsiTheme="minorHAnsi" w:cstheme="minorHAnsi"/>
          <w:color w:val="000000"/>
          <w:sz w:val="22"/>
          <w:lang w:eastAsia="en-GB"/>
        </w:rPr>
      </w:pPr>
    </w:p>
    <w:tbl>
      <w:tblPr>
        <w:tblW w:w="0" w:type="auto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323"/>
        <w:gridCol w:w="1637"/>
      </w:tblGrid>
      <w:tr w:rsidR="001E27BB" w:rsidRPr="00A839F1" w14:paraId="67855621" w14:textId="77777777" w:rsidTr="00D55E5B">
        <w:trPr>
          <w:jc w:val="center"/>
        </w:trPr>
        <w:tc>
          <w:tcPr>
            <w:tcW w:w="0" w:type="auto"/>
            <w:shd w:val="clear" w:color="auto" w:fill="BFBFBF" w:themeFill="background1" w:themeFillShade="BF"/>
            <w:hideMark/>
          </w:tcPr>
          <w:p w14:paraId="7041A0AC" w14:textId="77777777" w:rsidR="001E27BB" w:rsidRPr="00A839F1" w:rsidRDefault="001E27BB" w:rsidP="00D55E5B">
            <w:pPr>
              <w:pStyle w:val="Standard"/>
              <w:jc w:val="center"/>
              <w:rPr>
                <w:rFonts w:hint="eastAsia"/>
                <w:b/>
                <w:bCs/>
              </w:rPr>
            </w:pPr>
            <w:r w:rsidRPr="00A839F1">
              <w:rPr>
                <w:b/>
                <w:bCs/>
              </w:rPr>
              <w:t>Bid Range</w:t>
            </w:r>
          </w:p>
        </w:tc>
        <w:tc>
          <w:tcPr>
            <w:tcW w:w="0" w:type="auto"/>
            <w:shd w:val="clear" w:color="auto" w:fill="BFBFBF" w:themeFill="background1" w:themeFillShade="BF"/>
            <w:hideMark/>
          </w:tcPr>
          <w:p w14:paraId="20BDD6E1" w14:textId="77777777" w:rsidR="001E27BB" w:rsidRPr="00A839F1" w:rsidRDefault="001E27BB" w:rsidP="00D55E5B">
            <w:pPr>
              <w:pStyle w:val="Standard"/>
              <w:jc w:val="center"/>
              <w:rPr>
                <w:rFonts w:hint="eastAsia"/>
                <w:b/>
                <w:bCs/>
              </w:rPr>
            </w:pPr>
            <w:r w:rsidRPr="00A839F1">
              <w:rPr>
                <w:b/>
                <w:bCs/>
              </w:rPr>
              <w:t>Bidding Steps</w:t>
            </w:r>
          </w:p>
          <w:p w14:paraId="2DE93AE6" w14:textId="77777777" w:rsidR="001E27BB" w:rsidRPr="00A839F1" w:rsidRDefault="001E27BB" w:rsidP="00D55E5B">
            <w:pPr>
              <w:pStyle w:val="Standard"/>
              <w:jc w:val="center"/>
              <w:rPr>
                <w:rFonts w:hint="eastAsia"/>
                <w:b/>
                <w:bCs/>
              </w:rPr>
            </w:pPr>
            <w:r w:rsidRPr="00A839F1">
              <w:rPr>
                <w:b/>
                <w:bCs/>
              </w:rPr>
              <w:t>£</w:t>
            </w:r>
          </w:p>
        </w:tc>
      </w:tr>
      <w:tr w:rsidR="001E27BB" w:rsidRPr="00A839F1" w14:paraId="71EAA0AE" w14:textId="77777777" w:rsidTr="00D55E5B">
        <w:trPr>
          <w:jc w:val="center"/>
        </w:trPr>
        <w:tc>
          <w:tcPr>
            <w:tcW w:w="0" w:type="auto"/>
            <w:hideMark/>
          </w:tcPr>
          <w:p w14:paraId="01462242" w14:textId="77777777" w:rsidR="001E27BB" w:rsidRPr="00A839F1" w:rsidRDefault="001E27BB" w:rsidP="00D55E5B">
            <w:pPr>
              <w:pStyle w:val="Standard"/>
              <w:jc w:val="center"/>
              <w:rPr>
                <w:rFonts w:hint="eastAsia"/>
              </w:rPr>
            </w:pPr>
            <w:r w:rsidRPr="00A839F1">
              <w:t>Up to £40</w:t>
            </w:r>
          </w:p>
        </w:tc>
        <w:tc>
          <w:tcPr>
            <w:tcW w:w="0" w:type="auto"/>
            <w:hideMark/>
          </w:tcPr>
          <w:p w14:paraId="7A9CF186" w14:textId="77777777" w:rsidR="001E27BB" w:rsidRPr="00A839F1" w:rsidRDefault="001E27BB" w:rsidP="00D55E5B">
            <w:pPr>
              <w:pStyle w:val="Standard"/>
              <w:jc w:val="center"/>
              <w:rPr>
                <w:rFonts w:hint="eastAsia"/>
              </w:rPr>
            </w:pPr>
            <w:r w:rsidRPr="00A839F1">
              <w:t>1</w:t>
            </w:r>
          </w:p>
        </w:tc>
      </w:tr>
      <w:tr w:rsidR="001E27BB" w:rsidRPr="00A839F1" w14:paraId="7360EEB1" w14:textId="77777777" w:rsidTr="00D55E5B">
        <w:trPr>
          <w:jc w:val="center"/>
        </w:trPr>
        <w:tc>
          <w:tcPr>
            <w:tcW w:w="0" w:type="auto"/>
            <w:hideMark/>
          </w:tcPr>
          <w:p w14:paraId="51233A75" w14:textId="77777777" w:rsidR="001E27BB" w:rsidRPr="00A839F1" w:rsidRDefault="001E27BB" w:rsidP="00D55E5B">
            <w:pPr>
              <w:pStyle w:val="Standard"/>
              <w:jc w:val="center"/>
              <w:rPr>
                <w:rFonts w:hint="eastAsia"/>
              </w:rPr>
            </w:pPr>
            <w:r w:rsidRPr="00A839F1">
              <w:t>Over £40 up to £80</w:t>
            </w:r>
          </w:p>
        </w:tc>
        <w:tc>
          <w:tcPr>
            <w:tcW w:w="0" w:type="auto"/>
            <w:hideMark/>
          </w:tcPr>
          <w:p w14:paraId="4F866F19" w14:textId="77777777" w:rsidR="001E27BB" w:rsidRPr="00A839F1" w:rsidRDefault="001E27BB" w:rsidP="00D55E5B">
            <w:pPr>
              <w:pStyle w:val="Standard"/>
              <w:jc w:val="center"/>
              <w:rPr>
                <w:rFonts w:hint="eastAsia"/>
              </w:rPr>
            </w:pPr>
            <w:r w:rsidRPr="00A839F1">
              <w:t>2</w:t>
            </w:r>
          </w:p>
        </w:tc>
      </w:tr>
      <w:tr w:rsidR="001E27BB" w:rsidRPr="00A839F1" w14:paraId="4CF0AE95" w14:textId="77777777" w:rsidTr="00D55E5B">
        <w:trPr>
          <w:jc w:val="center"/>
        </w:trPr>
        <w:tc>
          <w:tcPr>
            <w:tcW w:w="0" w:type="auto"/>
            <w:hideMark/>
          </w:tcPr>
          <w:p w14:paraId="68B1E99E" w14:textId="77777777" w:rsidR="001E27BB" w:rsidRPr="00A839F1" w:rsidRDefault="001E27BB" w:rsidP="00D55E5B">
            <w:pPr>
              <w:pStyle w:val="Standard"/>
              <w:jc w:val="center"/>
              <w:rPr>
                <w:rFonts w:hint="eastAsia"/>
              </w:rPr>
            </w:pPr>
            <w:r w:rsidRPr="00A839F1">
              <w:t>Over £80 up to £200</w:t>
            </w:r>
          </w:p>
        </w:tc>
        <w:tc>
          <w:tcPr>
            <w:tcW w:w="0" w:type="auto"/>
            <w:hideMark/>
          </w:tcPr>
          <w:p w14:paraId="0C5C5334" w14:textId="77777777" w:rsidR="001E27BB" w:rsidRPr="00A839F1" w:rsidRDefault="001E27BB" w:rsidP="00D55E5B">
            <w:pPr>
              <w:pStyle w:val="Standard"/>
              <w:jc w:val="center"/>
              <w:rPr>
                <w:rFonts w:hint="eastAsia"/>
              </w:rPr>
            </w:pPr>
            <w:r w:rsidRPr="00A839F1">
              <w:t>5</w:t>
            </w:r>
          </w:p>
        </w:tc>
      </w:tr>
      <w:tr w:rsidR="001E27BB" w:rsidRPr="00A839F1" w14:paraId="22366F61" w14:textId="77777777" w:rsidTr="00D55E5B">
        <w:trPr>
          <w:jc w:val="center"/>
        </w:trPr>
        <w:tc>
          <w:tcPr>
            <w:tcW w:w="0" w:type="auto"/>
            <w:hideMark/>
          </w:tcPr>
          <w:p w14:paraId="486668EA" w14:textId="77777777" w:rsidR="001E27BB" w:rsidRPr="00A839F1" w:rsidRDefault="001E27BB" w:rsidP="00D55E5B">
            <w:pPr>
              <w:pStyle w:val="Standard"/>
              <w:jc w:val="center"/>
              <w:rPr>
                <w:rFonts w:hint="eastAsia"/>
              </w:rPr>
            </w:pPr>
            <w:r w:rsidRPr="00A839F1">
              <w:t>Over £200 up to £500</w:t>
            </w:r>
          </w:p>
        </w:tc>
        <w:tc>
          <w:tcPr>
            <w:tcW w:w="0" w:type="auto"/>
            <w:hideMark/>
          </w:tcPr>
          <w:p w14:paraId="1BD3AA3C" w14:textId="77777777" w:rsidR="001E27BB" w:rsidRPr="00A839F1" w:rsidRDefault="001E27BB" w:rsidP="00D55E5B">
            <w:pPr>
              <w:pStyle w:val="Standard"/>
              <w:jc w:val="center"/>
              <w:rPr>
                <w:rFonts w:hint="eastAsia"/>
              </w:rPr>
            </w:pPr>
            <w:r w:rsidRPr="00A839F1">
              <w:t>10</w:t>
            </w:r>
          </w:p>
        </w:tc>
      </w:tr>
      <w:tr w:rsidR="001E27BB" w:rsidRPr="00A839F1" w14:paraId="2A7DE16D" w14:textId="77777777" w:rsidTr="00D55E5B">
        <w:trPr>
          <w:jc w:val="center"/>
        </w:trPr>
        <w:tc>
          <w:tcPr>
            <w:tcW w:w="0" w:type="auto"/>
            <w:hideMark/>
          </w:tcPr>
          <w:p w14:paraId="1D5B9CD4" w14:textId="77777777" w:rsidR="001E27BB" w:rsidRPr="00A839F1" w:rsidRDefault="001E27BB" w:rsidP="00D55E5B">
            <w:pPr>
              <w:pStyle w:val="Standard"/>
              <w:jc w:val="center"/>
              <w:rPr>
                <w:rFonts w:hint="eastAsia"/>
              </w:rPr>
            </w:pPr>
            <w:r w:rsidRPr="00A839F1">
              <w:t>Over £500 to £1,000</w:t>
            </w:r>
          </w:p>
        </w:tc>
        <w:tc>
          <w:tcPr>
            <w:tcW w:w="0" w:type="auto"/>
            <w:hideMark/>
          </w:tcPr>
          <w:p w14:paraId="5E9C3A85" w14:textId="77777777" w:rsidR="001E27BB" w:rsidRPr="00A839F1" w:rsidRDefault="001E27BB" w:rsidP="00D55E5B">
            <w:pPr>
              <w:pStyle w:val="Standard"/>
              <w:jc w:val="center"/>
              <w:rPr>
                <w:rFonts w:hint="eastAsia"/>
              </w:rPr>
            </w:pPr>
            <w:r w:rsidRPr="00A839F1">
              <w:t>20</w:t>
            </w:r>
          </w:p>
        </w:tc>
      </w:tr>
      <w:tr w:rsidR="001E27BB" w:rsidRPr="00A839F1" w14:paraId="6BF4220C" w14:textId="77777777" w:rsidTr="00D55E5B">
        <w:trPr>
          <w:jc w:val="center"/>
        </w:trPr>
        <w:tc>
          <w:tcPr>
            <w:tcW w:w="0" w:type="auto"/>
            <w:hideMark/>
          </w:tcPr>
          <w:p w14:paraId="3A3DD5A9" w14:textId="77777777" w:rsidR="001E27BB" w:rsidRPr="00A839F1" w:rsidRDefault="001E27BB" w:rsidP="00D55E5B">
            <w:pPr>
              <w:pStyle w:val="Standard"/>
              <w:jc w:val="center"/>
              <w:rPr>
                <w:rFonts w:hint="eastAsia"/>
              </w:rPr>
            </w:pPr>
            <w:r w:rsidRPr="00A839F1">
              <w:t>Over £1,000</w:t>
            </w:r>
          </w:p>
        </w:tc>
        <w:tc>
          <w:tcPr>
            <w:tcW w:w="0" w:type="auto"/>
            <w:hideMark/>
          </w:tcPr>
          <w:p w14:paraId="713A7DAC" w14:textId="77777777" w:rsidR="001E27BB" w:rsidRPr="00A839F1" w:rsidRDefault="001E27BB" w:rsidP="00D55E5B">
            <w:pPr>
              <w:pStyle w:val="Standard"/>
              <w:jc w:val="center"/>
              <w:rPr>
                <w:rFonts w:hint="eastAsia"/>
              </w:rPr>
            </w:pPr>
            <w:r w:rsidRPr="00A839F1">
              <w:t>50</w:t>
            </w:r>
          </w:p>
        </w:tc>
      </w:tr>
    </w:tbl>
    <w:p w14:paraId="19989FCF" w14:textId="77777777" w:rsidR="00216C69" w:rsidRDefault="00216C69" w:rsidP="00B650A4">
      <w:pPr>
        <w:rPr>
          <w:rFonts w:asciiTheme="minorHAnsi" w:eastAsia="Times New Roman" w:hAnsiTheme="minorHAnsi" w:cstheme="minorHAnsi"/>
          <w:color w:val="000000"/>
          <w:sz w:val="22"/>
          <w:lang w:eastAsia="en-GB"/>
        </w:rPr>
      </w:pPr>
    </w:p>
    <w:p w14:paraId="7E0685E7" w14:textId="7096AFCA" w:rsidR="001E27BB" w:rsidRDefault="0015119D" w:rsidP="00B650A4">
      <w:pPr>
        <w:rPr>
          <w:rFonts w:asciiTheme="minorHAnsi" w:eastAsia="Times New Roman" w:hAnsiTheme="minorHAnsi" w:cstheme="minorHAnsi"/>
          <w:b/>
          <w:bCs/>
          <w:color w:val="000000"/>
          <w:sz w:val="22"/>
          <w:lang w:eastAsia="en-GB"/>
        </w:rPr>
      </w:pPr>
      <w:r w:rsidRPr="0015119D">
        <w:rPr>
          <w:rFonts w:asciiTheme="minorHAnsi" w:eastAsia="Times New Roman" w:hAnsiTheme="minorHAnsi" w:cstheme="minorHAnsi"/>
          <w:b/>
          <w:bCs/>
          <w:color w:val="000000"/>
          <w:sz w:val="22"/>
          <w:lang w:eastAsia="en-GB"/>
        </w:rPr>
        <w:t>Winning Bids</w:t>
      </w:r>
      <w:r>
        <w:rPr>
          <w:rFonts w:asciiTheme="minorHAnsi" w:eastAsia="Times New Roman" w:hAnsiTheme="minorHAnsi" w:cstheme="minorHAnsi"/>
          <w:b/>
          <w:bCs/>
          <w:color w:val="000000"/>
          <w:sz w:val="22"/>
          <w:lang w:eastAsia="en-GB"/>
        </w:rPr>
        <w:t>:</w:t>
      </w:r>
    </w:p>
    <w:p w14:paraId="1AF5372D" w14:textId="16DD8A03" w:rsidR="0015119D" w:rsidRDefault="0015119D" w:rsidP="00B650A4">
      <w:pPr>
        <w:rPr>
          <w:rFonts w:asciiTheme="minorHAnsi" w:eastAsia="Times New Roman" w:hAnsiTheme="minorHAnsi" w:cstheme="minorHAnsi"/>
          <w:color w:val="000000"/>
          <w:sz w:val="22"/>
          <w:lang w:eastAsia="en-GB"/>
        </w:rPr>
      </w:pPr>
      <w:r w:rsidRPr="0015119D">
        <w:rPr>
          <w:rFonts w:asciiTheme="minorHAnsi" w:eastAsia="Times New Roman" w:hAnsiTheme="minorHAnsi" w:cstheme="minorHAnsi"/>
          <w:color w:val="000000"/>
          <w:sz w:val="22"/>
          <w:lang w:eastAsia="en-GB"/>
        </w:rPr>
        <w:tab/>
        <w:t xml:space="preserve">Payment </w:t>
      </w:r>
      <w:r>
        <w:rPr>
          <w:rFonts w:asciiTheme="minorHAnsi" w:eastAsia="Times New Roman" w:hAnsiTheme="minorHAnsi" w:cstheme="minorHAnsi"/>
          <w:color w:val="000000"/>
          <w:sz w:val="22"/>
          <w:lang w:eastAsia="en-GB"/>
        </w:rPr>
        <w:t xml:space="preserve">should be made </w:t>
      </w:r>
      <w:r w:rsidR="00393AC1">
        <w:rPr>
          <w:rFonts w:asciiTheme="minorHAnsi" w:eastAsia="Times New Roman" w:hAnsiTheme="minorHAnsi" w:cstheme="minorHAnsi"/>
          <w:color w:val="000000"/>
          <w:sz w:val="22"/>
          <w:lang w:eastAsia="en-GB"/>
        </w:rPr>
        <w:t xml:space="preserve">within 7 days of receiving the invoice.  </w:t>
      </w:r>
    </w:p>
    <w:p w14:paraId="07E0471E" w14:textId="77777777" w:rsidR="00E234DE" w:rsidRDefault="00E234DE" w:rsidP="00B650A4">
      <w:pPr>
        <w:rPr>
          <w:rFonts w:asciiTheme="minorHAnsi" w:eastAsia="Times New Roman" w:hAnsiTheme="minorHAnsi" w:cstheme="minorHAnsi"/>
          <w:color w:val="000000"/>
          <w:sz w:val="22"/>
          <w:lang w:eastAsia="en-GB"/>
        </w:rPr>
      </w:pPr>
    </w:p>
    <w:p w14:paraId="39B68425" w14:textId="36C8DF09" w:rsidR="00E234DE" w:rsidRDefault="00E234DE" w:rsidP="00B650A4">
      <w:pPr>
        <w:rPr>
          <w:rFonts w:asciiTheme="minorHAnsi" w:eastAsia="Times New Roman" w:hAnsiTheme="minorHAnsi" w:cstheme="minorHAnsi"/>
          <w:b/>
          <w:bCs/>
          <w:color w:val="000000"/>
          <w:sz w:val="22"/>
          <w:lang w:eastAsia="en-GB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2"/>
          <w:lang w:eastAsia="en-GB"/>
        </w:rPr>
        <w:t>Buyer’s Premium:</w:t>
      </w:r>
    </w:p>
    <w:p w14:paraId="2E5CDD5D" w14:textId="77777777" w:rsidR="00372D39" w:rsidRDefault="00E234DE" w:rsidP="00E234DE">
      <w:pPr>
        <w:ind w:left="705"/>
        <w:rPr>
          <w:rFonts w:asciiTheme="minorHAnsi" w:eastAsia="Times New Roman" w:hAnsiTheme="minorHAnsi" w:cstheme="minorHAnsi"/>
          <w:color w:val="000000"/>
          <w:sz w:val="22"/>
          <w:lang w:eastAsia="en-GB"/>
        </w:rPr>
      </w:pPr>
      <w:r w:rsidRPr="00E234DE">
        <w:rPr>
          <w:rFonts w:asciiTheme="minorHAnsi" w:eastAsia="Times New Roman" w:hAnsiTheme="minorHAnsi" w:cstheme="minorHAnsi"/>
          <w:color w:val="000000"/>
          <w:sz w:val="22"/>
          <w:lang w:eastAsia="en-GB"/>
        </w:rPr>
        <w:t xml:space="preserve">There is no </w:t>
      </w:r>
      <w:r w:rsidR="00372D39" w:rsidRPr="00E234DE">
        <w:rPr>
          <w:rFonts w:asciiTheme="minorHAnsi" w:eastAsia="Times New Roman" w:hAnsiTheme="minorHAnsi" w:cstheme="minorHAnsi"/>
          <w:color w:val="000000"/>
          <w:sz w:val="22"/>
          <w:lang w:eastAsia="en-GB"/>
        </w:rPr>
        <w:t>buyer’s</w:t>
      </w:r>
      <w:r w:rsidRPr="00E234DE">
        <w:rPr>
          <w:rFonts w:asciiTheme="minorHAnsi" w:eastAsia="Times New Roman" w:hAnsiTheme="minorHAnsi" w:cstheme="minorHAnsi"/>
          <w:color w:val="000000"/>
          <w:sz w:val="22"/>
          <w:lang w:eastAsia="en-GB"/>
        </w:rPr>
        <w:t xml:space="preserve"> premium.  </w:t>
      </w:r>
      <w:r w:rsidRPr="00403A57">
        <w:rPr>
          <w:rFonts w:asciiTheme="minorHAnsi" w:eastAsia="Times New Roman" w:hAnsiTheme="minorHAnsi" w:cstheme="minorHAnsi"/>
          <w:color w:val="000000"/>
          <w:sz w:val="22"/>
          <w:lang w:eastAsia="en-GB"/>
        </w:rPr>
        <w:t>However, if your lots are to be posted, you will be charged for postage/packaging</w:t>
      </w:r>
      <w:r w:rsidR="00372D39">
        <w:rPr>
          <w:rFonts w:asciiTheme="minorHAnsi" w:eastAsia="Times New Roman" w:hAnsiTheme="minorHAnsi" w:cstheme="minorHAnsi"/>
          <w:color w:val="000000"/>
          <w:sz w:val="22"/>
          <w:lang w:eastAsia="en-GB"/>
        </w:rPr>
        <w:t>.</w:t>
      </w:r>
    </w:p>
    <w:p w14:paraId="4604DE97" w14:textId="77777777" w:rsidR="00372D39" w:rsidRDefault="00372D39" w:rsidP="00372D39">
      <w:pPr>
        <w:rPr>
          <w:rFonts w:asciiTheme="minorHAnsi" w:eastAsia="Times New Roman" w:hAnsiTheme="minorHAnsi" w:cstheme="minorHAnsi"/>
          <w:color w:val="000000"/>
          <w:sz w:val="22"/>
          <w:lang w:eastAsia="en-GB"/>
        </w:rPr>
      </w:pPr>
    </w:p>
    <w:p w14:paraId="672B81B9" w14:textId="77777777" w:rsidR="00372D39" w:rsidRDefault="00372D39" w:rsidP="00372D39">
      <w:pPr>
        <w:rPr>
          <w:rFonts w:asciiTheme="minorHAnsi" w:eastAsia="Times New Roman" w:hAnsiTheme="minorHAnsi" w:cstheme="minorHAnsi"/>
          <w:color w:val="000000"/>
          <w:sz w:val="22"/>
          <w:lang w:eastAsia="en-GB"/>
        </w:rPr>
      </w:pPr>
      <w:r w:rsidRPr="00372D39">
        <w:rPr>
          <w:rFonts w:asciiTheme="minorHAnsi" w:eastAsia="Times New Roman" w:hAnsiTheme="minorHAnsi" w:cstheme="minorHAnsi"/>
          <w:b/>
          <w:bCs/>
          <w:color w:val="000000"/>
          <w:sz w:val="22"/>
          <w:lang w:eastAsia="en-GB"/>
        </w:rPr>
        <w:t>Insurance Levy</w:t>
      </w:r>
      <w:r w:rsidR="00E234DE" w:rsidRPr="00403A57">
        <w:rPr>
          <w:rFonts w:asciiTheme="minorHAnsi" w:eastAsia="Times New Roman" w:hAnsiTheme="minorHAnsi" w:cstheme="minorHAnsi"/>
          <w:color w:val="000000"/>
          <w:sz w:val="22"/>
          <w:lang w:eastAsia="en-GB"/>
        </w:rPr>
        <w:t xml:space="preserve"> </w:t>
      </w:r>
    </w:p>
    <w:p w14:paraId="5D662F71" w14:textId="1E7EF9E7" w:rsidR="00E234DE" w:rsidRPr="00E234DE" w:rsidRDefault="00372D39" w:rsidP="00641B8A">
      <w:pPr>
        <w:ind w:left="709"/>
        <w:rPr>
          <w:rFonts w:asciiTheme="minorHAnsi" w:eastAsia="Times New Roman" w:hAnsiTheme="minorHAnsi" w:cstheme="minorHAnsi"/>
          <w:color w:val="000000"/>
          <w:sz w:val="22"/>
          <w:lang w:eastAsia="en-GB"/>
        </w:rPr>
      </w:pPr>
      <w:r>
        <w:rPr>
          <w:rFonts w:asciiTheme="minorHAnsi" w:eastAsia="Times New Roman" w:hAnsiTheme="minorHAnsi" w:cstheme="minorHAnsi"/>
          <w:color w:val="000000"/>
          <w:sz w:val="22"/>
          <w:lang w:eastAsia="en-GB"/>
        </w:rPr>
        <w:t xml:space="preserve">An insurance levy </w:t>
      </w:r>
      <w:r w:rsidR="007F0B11">
        <w:rPr>
          <w:rFonts w:asciiTheme="minorHAnsi" w:eastAsia="Times New Roman" w:hAnsiTheme="minorHAnsi" w:cstheme="minorHAnsi"/>
          <w:color w:val="000000"/>
          <w:sz w:val="22"/>
          <w:lang w:eastAsia="en-GB"/>
        </w:rPr>
        <w:t xml:space="preserve">will be added to each </w:t>
      </w:r>
      <w:r w:rsidR="00641B8A">
        <w:rPr>
          <w:rFonts w:asciiTheme="minorHAnsi" w:eastAsia="Times New Roman" w:hAnsiTheme="minorHAnsi" w:cstheme="minorHAnsi"/>
          <w:color w:val="000000"/>
          <w:sz w:val="22"/>
          <w:lang w:eastAsia="en-GB"/>
        </w:rPr>
        <w:t xml:space="preserve">postal/ email </w:t>
      </w:r>
      <w:r w:rsidR="007F0B11">
        <w:rPr>
          <w:rFonts w:asciiTheme="minorHAnsi" w:eastAsia="Times New Roman" w:hAnsiTheme="minorHAnsi" w:cstheme="minorHAnsi"/>
          <w:color w:val="000000"/>
          <w:sz w:val="22"/>
          <w:lang w:eastAsia="en-GB"/>
        </w:rPr>
        <w:t>invoice base</w:t>
      </w:r>
      <w:r w:rsidR="00E234DE" w:rsidRPr="00403A57">
        <w:rPr>
          <w:rFonts w:asciiTheme="minorHAnsi" w:eastAsia="Times New Roman" w:hAnsiTheme="minorHAnsi" w:cstheme="minorHAnsi"/>
          <w:color w:val="000000"/>
          <w:sz w:val="22"/>
          <w:lang w:eastAsia="en-GB"/>
        </w:rPr>
        <w:t xml:space="preserve">d on 1% of </w:t>
      </w:r>
      <w:r w:rsidR="00641B8A">
        <w:rPr>
          <w:rFonts w:asciiTheme="minorHAnsi" w:eastAsia="Times New Roman" w:hAnsiTheme="minorHAnsi" w:cstheme="minorHAnsi"/>
          <w:color w:val="000000"/>
          <w:sz w:val="22"/>
          <w:lang w:eastAsia="en-GB"/>
        </w:rPr>
        <w:t>the bid-price of the lots you have won</w:t>
      </w:r>
    </w:p>
    <w:p w14:paraId="7A89AD85" w14:textId="77777777" w:rsidR="00504731" w:rsidRDefault="00504731" w:rsidP="00B650A4">
      <w:pPr>
        <w:rPr>
          <w:rFonts w:asciiTheme="minorHAnsi" w:eastAsia="Times New Roman" w:hAnsiTheme="minorHAnsi" w:cstheme="minorHAnsi"/>
          <w:b/>
          <w:bCs/>
          <w:color w:val="000000"/>
          <w:sz w:val="22"/>
          <w:lang w:eastAsia="en-GB"/>
        </w:rPr>
      </w:pPr>
    </w:p>
    <w:p w14:paraId="1EAE7A88" w14:textId="0ED2CB6B" w:rsidR="00504731" w:rsidRDefault="00504731" w:rsidP="00B650A4">
      <w:pPr>
        <w:rPr>
          <w:rFonts w:asciiTheme="minorHAnsi" w:eastAsia="Times New Roman" w:hAnsiTheme="minorHAnsi" w:cstheme="minorHAnsi"/>
          <w:b/>
          <w:bCs/>
          <w:color w:val="000000"/>
          <w:sz w:val="22"/>
          <w:lang w:eastAsia="en-GB"/>
        </w:rPr>
      </w:pPr>
      <w:r w:rsidRPr="00504731">
        <w:rPr>
          <w:rFonts w:asciiTheme="minorHAnsi" w:eastAsia="Times New Roman" w:hAnsiTheme="minorHAnsi" w:cstheme="minorHAnsi"/>
          <w:b/>
          <w:bCs/>
          <w:color w:val="000000"/>
          <w:sz w:val="22"/>
          <w:lang w:eastAsia="en-GB"/>
        </w:rPr>
        <w:t>Postal Bids for Room Auctions</w:t>
      </w:r>
      <w:r>
        <w:rPr>
          <w:rFonts w:asciiTheme="minorHAnsi" w:eastAsia="Times New Roman" w:hAnsiTheme="minorHAnsi" w:cstheme="minorHAnsi"/>
          <w:b/>
          <w:bCs/>
          <w:color w:val="000000"/>
          <w:sz w:val="22"/>
          <w:lang w:eastAsia="en-GB"/>
        </w:rPr>
        <w:t>:</w:t>
      </w:r>
    </w:p>
    <w:p w14:paraId="00A8F217" w14:textId="77777777" w:rsidR="00492E89" w:rsidRPr="00504731" w:rsidRDefault="00492E89" w:rsidP="00504731">
      <w:pPr>
        <w:ind w:left="709"/>
        <w:rPr>
          <w:rFonts w:asciiTheme="minorHAnsi" w:eastAsia="Times New Roman" w:hAnsiTheme="minorHAnsi" w:cstheme="minorHAnsi"/>
          <w:sz w:val="22"/>
          <w:lang w:eastAsia="en-GB"/>
        </w:rPr>
      </w:pPr>
      <w:r w:rsidRPr="00504731">
        <w:rPr>
          <w:rFonts w:asciiTheme="minorHAnsi" w:eastAsia="Times New Roman" w:hAnsiTheme="minorHAnsi" w:cstheme="minorHAnsi"/>
          <w:color w:val="000000"/>
          <w:sz w:val="22"/>
          <w:lang w:eastAsia="en-GB"/>
        </w:rPr>
        <w:t>In the event of high postal bids, the auctioneer reserves the right to alter or skip bid steps, in order to expedite the running of the auction in the room</w:t>
      </w:r>
    </w:p>
    <w:p w14:paraId="667B74EC" w14:textId="77777777" w:rsidR="00D55092" w:rsidRPr="00504731" w:rsidRDefault="00D55092" w:rsidP="00D55092">
      <w:pPr>
        <w:rPr>
          <w:rFonts w:asciiTheme="minorHAnsi" w:eastAsia="Times New Roman" w:hAnsiTheme="minorHAnsi" w:cstheme="minorHAnsi"/>
          <w:color w:val="000000"/>
          <w:sz w:val="22"/>
          <w:lang w:eastAsia="en-GB"/>
        </w:rPr>
      </w:pPr>
    </w:p>
    <w:p w14:paraId="1C9E4B18" w14:textId="77777777" w:rsidR="00444ABC" w:rsidRDefault="00444ABC" w:rsidP="00D55092">
      <w:pPr>
        <w:rPr>
          <w:rFonts w:asciiTheme="minorHAnsi" w:eastAsia="Times New Roman" w:hAnsiTheme="minorHAnsi" w:cstheme="minorHAnsi"/>
          <w:b/>
          <w:bCs/>
          <w:color w:val="000000"/>
          <w:sz w:val="22"/>
          <w:lang w:eastAsia="en-GB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2"/>
          <w:lang w:eastAsia="en-GB"/>
        </w:rPr>
        <w:t>Please Note:</w:t>
      </w:r>
    </w:p>
    <w:p w14:paraId="6C5C1872" w14:textId="56C34797" w:rsidR="00492E89" w:rsidRDefault="00492E89" w:rsidP="00444ABC">
      <w:pPr>
        <w:ind w:left="709"/>
        <w:rPr>
          <w:rFonts w:asciiTheme="minorHAnsi" w:eastAsia="Times New Roman" w:hAnsiTheme="minorHAnsi" w:cstheme="minorHAnsi"/>
          <w:color w:val="000000"/>
          <w:sz w:val="22"/>
          <w:lang w:eastAsia="en-GB"/>
        </w:rPr>
      </w:pPr>
      <w:r w:rsidRPr="00403A57">
        <w:rPr>
          <w:rFonts w:asciiTheme="minorHAnsi" w:eastAsia="Times New Roman" w:hAnsiTheme="minorHAnsi" w:cstheme="minorHAnsi"/>
          <w:color w:val="000000"/>
          <w:sz w:val="22"/>
          <w:lang w:eastAsia="en-GB"/>
        </w:rPr>
        <w:t>All bids are accepted on the basis that lots will be paid for within 7 days of receipt, or returned if they are not in accordance with the Catalogue description.  Lots may have been left on pages and the write- up is not part of the lot description.</w:t>
      </w:r>
    </w:p>
    <w:p w14:paraId="252977C3" w14:textId="77777777" w:rsidR="00444ABC" w:rsidRDefault="00444ABC" w:rsidP="00444ABC">
      <w:pPr>
        <w:ind w:left="709"/>
        <w:rPr>
          <w:rFonts w:asciiTheme="minorHAnsi" w:eastAsia="Times New Roman" w:hAnsiTheme="minorHAnsi" w:cstheme="minorHAnsi"/>
          <w:color w:val="000000"/>
          <w:sz w:val="22"/>
          <w:lang w:eastAsia="en-GB"/>
        </w:rPr>
      </w:pPr>
    </w:p>
    <w:p w14:paraId="0F3CF5AA" w14:textId="16E13BB3" w:rsidR="00C638D7" w:rsidRDefault="00492E89" w:rsidP="00504731">
      <w:pPr>
        <w:rPr>
          <w:rFonts w:asciiTheme="minorHAnsi" w:eastAsia="Times New Roman" w:hAnsiTheme="minorHAnsi" w:cstheme="minorHAnsi"/>
          <w:b/>
          <w:bCs/>
          <w:color w:val="000000"/>
          <w:sz w:val="22"/>
          <w:lang w:eastAsia="en-GB"/>
        </w:rPr>
      </w:pPr>
      <w:r w:rsidRPr="00403A57">
        <w:rPr>
          <w:rFonts w:asciiTheme="minorHAnsi" w:eastAsia="Times New Roman" w:hAnsiTheme="minorHAnsi" w:cstheme="minorHAnsi"/>
          <w:b/>
          <w:bCs/>
          <w:color w:val="000000"/>
          <w:sz w:val="22"/>
          <w:lang w:eastAsia="en-GB"/>
        </w:rPr>
        <w:t>For those that are successful with winning bids you will receive an invoice which will detail the various methods of payment – a word version of the bidding form is available from Dominic Morris, if you need one.</w:t>
      </w:r>
    </w:p>
    <w:p w14:paraId="5E6DF02F" w14:textId="77777777" w:rsidR="00D75301" w:rsidRDefault="00D75301" w:rsidP="00504731">
      <w:pPr>
        <w:rPr>
          <w:rFonts w:asciiTheme="minorHAnsi" w:eastAsia="Times New Roman" w:hAnsiTheme="minorHAnsi" w:cstheme="minorHAnsi"/>
          <w:b/>
          <w:bCs/>
          <w:color w:val="000000"/>
          <w:sz w:val="22"/>
          <w:lang w:eastAsia="en-GB"/>
        </w:rPr>
      </w:pPr>
    </w:p>
    <w:p w14:paraId="445E5FB2" w14:textId="7332222F" w:rsidR="00D75301" w:rsidRPr="00504731" w:rsidRDefault="00D75301" w:rsidP="00504731">
      <w:pPr>
        <w:rPr>
          <w:rFonts w:asciiTheme="minorHAnsi" w:eastAsia="Times New Roman" w:hAnsiTheme="minorHAnsi" w:cstheme="minorHAnsi"/>
          <w:sz w:val="22"/>
          <w:lang w:eastAsia="en-GB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2"/>
          <w:lang w:eastAsia="en-GB"/>
        </w:rPr>
        <w:t>By submitting any bid for this auction you are agreeing to these terms.</w:t>
      </w:r>
    </w:p>
    <w:sectPr w:rsidR="00D75301" w:rsidRPr="00504731" w:rsidSect="006408E5">
      <w:headerReference w:type="default" r:id="rId7"/>
      <w:headerReference w:type="first" r:id="rId8"/>
      <w:pgSz w:w="11906" w:h="16838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E2279" w14:textId="77777777" w:rsidR="00FD3E56" w:rsidRDefault="00FD3E56">
      <w:pPr>
        <w:rPr>
          <w:rFonts w:hint="eastAsia"/>
        </w:rPr>
      </w:pPr>
      <w:r>
        <w:separator/>
      </w:r>
    </w:p>
  </w:endnote>
  <w:endnote w:type="continuationSeparator" w:id="0">
    <w:p w14:paraId="475C3154" w14:textId="77777777" w:rsidR="00FD3E56" w:rsidRDefault="00FD3E5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ED6A0" w14:textId="77777777" w:rsidR="00FD3E56" w:rsidRDefault="00FD3E5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BF0F240" w14:textId="77777777" w:rsidR="00FD3E56" w:rsidRDefault="00FD3E5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7685E" w14:textId="23F5DBA4" w:rsidR="00D00C69" w:rsidRPr="00C638D7" w:rsidRDefault="00C638D7" w:rsidP="00D00C69">
    <w:pPr>
      <w:pStyle w:val="Header"/>
      <w:jc w:val="center"/>
      <w:rPr>
        <w:rFonts w:hint="eastAsia"/>
        <w:b/>
        <w:bCs/>
        <w:sz w:val="28"/>
        <w:szCs w:val="28"/>
      </w:rPr>
    </w:pPr>
    <w:r w:rsidRPr="00C638D7">
      <w:rPr>
        <w:b/>
        <w:bCs/>
        <w:sz w:val="28"/>
        <w:szCs w:val="28"/>
      </w:rPr>
      <w:t>Malaya Study Group Auction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60AB2" w14:textId="72616228" w:rsidR="006408E5" w:rsidRDefault="006408E5" w:rsidP="006408E5">
    <w:pPr>
      <w:pStyle w:val="Header"/>
      <w:jc w:val="center"/>
      <w:rPr>
        <w:rFonts w:hint="eastAsia"/>
      </w:rPr>
    </w:pPr>
    <w:r>
      <w:rPr>
        <w:b/>
        <w:bCs/>
        <w:noProof/>
      </w:rPr>
      <w:drawing>
        <wp:inline distT="0" distB="0" distL="0" distR="0" wp14:anchorId="1CFF8661" wp14:editId="464EA7A2">
          <wp:extent cx="1790700" cy="917459"/>
          <wp:effectExtent l="0" t="0" r="0" b="0"/>
          <wp:docPr id="1342494579" name="Picture 2" descr="A tiger jumping in the ai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332811" name="Picture 2" descr="A tiger jumping in the air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916" cy="921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624"/>
    <w:rsid w:val="00001FE1"/>
    <w:rsid w:val="00016C3C"/>
    <w:rsid w:val="00022338"/>
    <w:rsid w:val="00036EF1"/>
    <w:rsid w:val="00062C64"/>
    <w:rsid w:val="00132F9A"/>
    <w:rsid w:val="0015119D"/>
    <w:rsid w:val="001B38C3"/>
    <w:rsid w:val="001E27BB"/>
    <w:rsid w:val="001E37AA"/>
    <w:rsid w:val="00216C69"/>
    <w:rsid w:val="00224E43"/>
    <w:rsid w:val="00243ABC"/>
    <w:rsid w:val="0026778D"/>
    <w:rsid w:val="00281BC4"/>
    <w:rsid w:val="00341679"/>
    <w:rsid w:val="0035289D"/>
    <w:rsid w:val="00372D39"/>
    <w:rsid w:val="00393AC1"/>
    <w:rsid w:val="003970C5"/>
    <w:rsid w:val="003A69F5"/>
    <w:rsid w:val="003D570C"/>
    <w:rsid w:val="003E01B7"/>
    <w:rsid w:val="00433A20"/>
    <w:rsid w:val="00444ABC"/>
    <w:rsid w:val="00487A3E"/>
    <w:rsid w:val="00492E89"/>
    <w:rsid w:val="004C0888"/>
    <w:rsid w:val="004E63FE"/>
    <w:rsid w:val="00501BEB"/>
    <w:rsid w:val="00504731"/>
    <w:rsid w:val="00554C4A"/>
    <w:rsid w:val="00593BD1"/>
    <w:rsid w:val="005B0AA4"/>
    <w:rsid w:val="005D2D15"/>
    <w:rsid w:val="005E13B2"/>
    <w:rsid w:val="005F442F"/>
    <w:rsid w:val="006112D7"/>
    <w:rsid w:val="006408E5"/>
    <w:rsid w:val="00641B8A"/>
    <w:rsid w:val="00644670"/>
    <w:rsid w:val="00647E87"/>
    <w:rsid w:val="006C29BB"/>
    <w:rsid w:val="006C66A4"/>
    <w:rsid w:val="006D7B34"/>
    <w:rsid w:val="006F3034"/>
    <w:rsid w:val="006F739F"/>
    <w:rsid w:val="006F7624"/>
    <w:rsid w:val="007151E1"/>
    <w:rsid w:val="007527D4"/>
    <w:rsid w:val="00754314"/>
    <w:rsid w:val="007A1D19"/>
    <w:rsid w:val="007D1E9A"/>
    <w:rsid w:val="007E6B35"/>
    <w:rsid w:val="007F0B11"/>
    <w:rsid w:val="00824EF5"/>
    <w:rsid w:val="00873B0D"/>
    <w:rsid w:val="008809C9"/>
    <w:rsid w:val="008D48C2"/>
    <w:rsid w:val="009006FF"/>
    <w:rsid w:val="00922CAD"/>
    <w:rsid w:val="009A1343"/>
    <w:rsid w:val="009C01AD"/>
    <w:rsid w:val="00A42CE8"/>
    <w:rsid w:val="00A839F1"/>
    <w:rsid w:val="00A97DCB"/>
    <w:rsid w:val="00AB6C0A"/>
    <w:rsid w:val="00B06779"/>
    <w:rsid w:val="00B166DE"/>
    <w:rsid w:val="00B328CF"/>
    <w:rsid w:val="00B6203C"/>
    <w:rsid w:val="00B650A4"/>
    <w:rsid w:val="00BA0780"/>
    <w:rsid w:val="00BA5CD5"/>
    <w:rsid w:val="00BF2C4A"/>
    <w:rsid w:val="00C638D7"/>
    <w:rsid w:val="00C86009"/>
    <w:rsid w:val="00C90A47"/>
    <w:rsid w:val="00CB203D"/>
    <w:rsid w:val="00CE2AAA"/>
    <w:rsid w:val="00D00C69"/>
    <w:rsid w:val="00D414B9"/>
    <w:rsid w:val="00D55092"/>
    <w:rsid w:val="00D65B7D"/>
    <w:rsid w:val="00D75301"/>
    <w:rsid w:val="00D75BDC"/>
    <w:rsid w:val="00D82B3F"/>
    <w:rsid w:val="00E04AFF"/>
    <w:rsid w:val="00E234DE"/>
    <w:rsid w:val="00EA6799"/>
    <w:rsid w:val="00EB6B8D"/>
    <w:rsid w:val="00F35ADC"/>
    <w:rsid w:val="00FA05E2"/>
    <w:rsid w:val="00FD3E56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035B0"/>
  <w15:docId w15:val="{903C52A5-7521-4800-B26C-81BDB9B9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en-GB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styleId="Hyperlink">
    <w:name w:val="Hyperlink"/>
    <w:basedOn w:val="DefaultParagraphFont"/>
    <w:uiPriority w:val="99"/>
    <w:unhideWhenUsed/>
    <w:rsid w:val="003E01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1B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0C69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D00C6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D00C69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00C69"/>
    <w:rPr>
      <w:rFonts w:cs="Mangal"/>
      <w:szCs w:val="21"/>
    </w:rPr>
  </w:style>
  <w:style w:type="table" w:styleId="TableGrid">
    <w:name w:val="Table Grid"/>
    <w:basedOn w:val="TableNormal"/>
    <w:uiPriority w:val="39"/>
    <w:rsid w:val="00F35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4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0BF95-865B-4646-928B-AAE867D1B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Peter Cockburn</cp:lastModifiedBy>
  <cp:revision>3</cp:revision>
  <dcterms:created xsi:type="dcterms:W3CDTF">2026-01-26T17:11:00Z</dcterms:created>
  <dcterms:modified xsi:type="dcterms:W3CDTF">2026-02-13T15:29:00Z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-310355363</vt:i4>
  </property>
</Properties>
</file>